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87E66" w14:textId="6E5DD0C7" w:rsidR="000A6504" w:rsidRDefault="005010CD">
      <w:pPr>
        <w:pStyle w:val="Heading1"/>
        <w:spacing w:before="240"/>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b/>
          <w:sz w:val="24"/>
          <w:szCs w:val="24"/>
        </w:rPr>
        <w:t>Title</w:t>
      </w:r>
      <w:r w:rsidR="000A6504">
        <w:rPr>
          <w:rFonts w:ascii="Times New Roman" w:eastAsia="Times New Roman" w:hAnsi="Times New Roman" w:cs="Times New Roman"/>
          <w:sz w:val="24"/>
          <w:szCs w:val="24"/>
        </w:rPr>
        <w:t xml:space="preserve"> </w:t>
      </w:r>
    </w:p>
    <w:p w14:paraId="00000002" w14:textId="3B361C38" w:rsidR="00AF3A89" w:rsidRDefault="005010CD">
      <w:pPr>
        <w:pStyle w:val="Heading1"/>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sz w:val="24"/>
          <w:szCs w:val="24"/>
        </w:rPr>
        <w:t xml:space="preserve">Effectiveness of natural vs. synthetic antifungal treatments against </w:t>
      </w:r>
      <w:r>
        <w:rPr>
          <w:i/>
          <w:color w:val="222222"/>
          <w:sz w:val="24"/>
          <w:szCs w:val="24"/>
          <w:highlight w:val="white"/>
        </w:rPr>
        <w:t>Saccharomyces cerevisiae</w:t>
      </w:r>
      <w:r>
        <w:rPr>
          <w:color w:val="222222"/>
          <w:sz w:val="24"/>
          <w:szCs w:val="24"/>
          <w:highlight w:val="white"/>
        </w:rPr>
        <w:t>.</w:t>
      </w:r>
      <w:r>
        <w:rPr>
          <w:rFonts w:ascii="Times New Roman" w:eastAsia="Times New Roman" w:hAnsi="Times New Roman" w:cs="Times New Roman"/>
          <w:sz w:val="24"/>
          <w:szCs w:val="24"/>
        </w:rPr>
        <w:t xml:space="preserve">                                        </w:t>
      </w:r>
    </w:p>
    <w:p w14:paraId="5D43CE86" w14:textId="60783510" w:rsidR="005822EF" w:rsidRDefault="005822EF" w:rsidP="003E332C">
      <w:pPr>
        <w:pStyle w:val="Heading1"/>
        <w:spacing w:before="240"/>
        <w:rPr>
          <w:rFonts w:ascii="Times New Roman" w:eastAsia="Times New Roman" w:hAnsi="Times New Roman" w:cs="Times New Roman"/>
          <w:i/>
          <w:sz w:val="24"/>
          <w:szCs w:val="24"/>
        </w:rPr>
      </w:pPr>
      <w:bookmarkStart w:id="1" w:name="_heading=h.a2kjoimon1xk" w:colFirst="0" w:colLast="0"/>
      <w:bookmarkStart w:id="2" w:name="_heading=h.30j0zll" w:colFirst="0" w:colLast="0"/>
      <w:bookmarkEnd w:id="1"/>
      <w:bookmarkEnd w:id="2"/>
    </w:p>
    <w:p w14:paraId="69D07277" w14:textId="68E476EF" w:rsidR="003E332C" w:rsidRDefault="003E332C" w:rsidP="003E332C">
      <w:r>
        <w:t>Abstract</w:t>
      </w:r>
    </w:p>
    <w:p w14:paraId="00000005" w14:textId="77BBDC8A" w:rsidR="00AF3A89" w:rsidRPr="006D75DE" w:rsidRDefault="003E332C" w:rsidP="006D75DE">
      <w:r>
        <w:t xml:space="preserve">In this experiment, we developed a natural treatment antifungal </w:t>
      </w:r>
      <w:r w:rsidR="001127B2">
        <w:t xml:space="preserve">method using </w:t>
      </w:r>
      <w:r w:rsidR="001127B2">
        <w:rPr>
          <w:rFonts w:ascii="Times New Roman" w:eastAsia="Times New Roman" w:hAnsi="Times New Roman" w:cs="Times New Roman"/>
          <w:i/>
          <w:color w:val="222222"/>
          <w:sz w:val="24"/>
          <w:szCs w:val="24"/>
          <w:highlight w:val="white"/>
        </w:rPr>
        <w:t>Saccharomyces cerevisiae</w:t>
      </w:r>
      <w:r w:rsidR="001127B2">
        <w:rPr>
          <w:rFonts w:ascii="Times New Roman" w:eastAsia="Times New Roman" w:hAnsi="Times New Roman" w:cs="Times New Roman"/>
          <w:i/>
          <w:color w:val="222222"/>
          <w:sz w:val="24"/>
          <w:szCs w:val="24"/>
        </w:rPr>
        <w:t xml:space="preserve"> </w:t>
      </w:r>
      <w:r w:rsidR="001127B2" w:rsidRPr="001127B2">
        <w:rPr>
          <w:rFonts w:ascii="Times New Roman" w:eastAsia="Times New Roman" w:hAnsi="Times New Roman" w:cs="Times New Roman"/>
          <w:color w:val="222222"/>
          <w:sz w:val="24"/>
          <w:szCs w:val="24"/>
        </w:rPr>
        <w:t>which</w:t>
      </w:r>
      <w:r w:rsidR="001127B2">
        <w:rPr>
          <w:rFonts w:ascii="Times New Roman" w:eastAsia="Times New Roman" w:hAnsi="Times New Roman" w:cs="Times New Roman"/>
          <w:i/>
          <w:color w:val="222222"/>
          <w:sz w:val="24"/>
          <w:szCs w:val="24"/>
        </w:rPr>
        <w:t xml:space="preserve"> </w:t>
      </w:r>
      <w:r w:rsidR="001127B2" w:rsidRPr="001127B2">
        <w:rPr>
          <w:rFonts w:ascii="Times New Roman" w:eastAsia="Times New Roman" w:hAnsi="Times New Roman" w:cs="Times New Roman"/>
          <w:color w:val="222222"/>
          <w:sz w:val="24"/>
          <w:szCs w:val="24"/>
        </w:rPr>
        <w:t>wa</w:t>
      </w:r>
      <w:r w:rsidR="001127B2">
        <w:rPr>
          <w:rFonts w:ascii="Times New Roman" w:eastAsia="Times New Roman" w:hAnsi="Times New Roman" w:cs="Times New Roman"/>
          <w:color w:val="222222"/>
          <w:sz w:val="24"/>
          <w:szCs w:val="24"/>
        </w:rPr>
        <w:t xml:space="preserve">s distributed in six well </w:t>
      </w:r>
      <w:r w:rsidR="006D75DE">
        <w:rPr>
          <w:rFonts w:ascii="Times New Roman" w:eastAsia="Times New Roman" w:hAnsi="Times New Roman" w:cs="Times New Roman"/>
          <w:color w:val="222222"/>
          <w:sz w:val="24"/>
          <w:szCs w:val="24"/>
        </w:rPr>
        <w:t>plate’s,</w:t>
      </w:r>
      <w:r w:rsidR="006D75DE">
        <w:rPr>
          <w:rFonts w:ascii="Times New Roman" w:eastAsia="Times New Roman" w:hAnsi="Times New Roman" w:cs="Times New Roman"/>
          <w:color w:val="222222"/>
          <w:sz w:val="24"/>
          <w:szCs w:val="24"/>
          <w:highlight w:val="white"/>
        </w:rPr>
        <w:t xml:space="preserve"> </w:t>
      </w:r>
      <w:r w:rsidR="005010CD">
        <w:rPr>
          <w:rFonts w:ascii="Times New Roman" w:eastAsia="Times New Roman" w:hAnsi="Times New Roman" w:cs="Times New Roman"/>
          <w:color w:val="222222"/>
          <w:sz w:val="24"/>
          <w:szCs w:val="24"/>
          <w:highlight w:val="white"/>
        </w:rPr>
        <w:t>with the treatment the growth of the fungus would be limited or halted. This is because the active components of antifungal substances impede major cellular processes limiting growth or killing the fungi. There may be many modes of action through which antifungal substances may affect fungi. One way may be through damage to cell membranes or through inhibition of enzyme function (</w:t>
      </w:r>
      <w:r w:rsidR="005010CD">
        <w:rPr>
          <w:rFonts w:ascii="Times New Roman" w:eastAsia="Times New Roman" w:hAnsi="Times New Roman" w:cs="Times New Roman"/>
          <w:color w:val="222222"/>
          <w:sz w:val="21"/>
          <w:szCs w:val="21"/>
          <w:highlight w:val="white"/>
        </w:rPr>
        <w:t xml:space="preserve">Li et al. 2017 and Copping &amp; Hewitt 1998). </w:t>
      </w:r>
      <w:r w:rsidR="005010CD">
        <w:rPr>
          <w:rFonts w:ascii="Times New Roman" w:eastAsia="Times New Roman" w:hAnsi="Times New Roman" w:cs="Times New Roman"/>
          <w:color w:val="222222"/>
          <w:sz w:val="24"/>
          <w:szCs w:val="24"/>
          <w:highlight w:val="white"/>
        </w:rPr>
        <w:t>Most commonly used fungicides affect the fungi in multiple ways leading to the death of the fungi (</w:t>
      </w:r>
      <w:r w:rsidR="005010CD">
        <w:rPr>
          <w:rFonts w:ascii="Times New Roman" w:eastAsia="Times New Roman" w:hAnsi="Times New Roman" w:cs="Times New Roman"/>
          <w:color w:val="222222"/>
          <w:sz w:val="21"/>
          <w:szCs w:val="21"/>
          <w:highlight w:val="white"/>
        </w:rPr>
        <w:t>Copping &amp; Hewitt 1998).</w:t>
      </w:r>
    </w:p>
    <w:p w14:paraId="00000006" w14:textId="2BE65037" w:rsidR="00AF3A89" w:rsidRDefault="00AF3A89">
      <w:pPr>
        <w:spacing w:before="120" w:after="240"/>
        <w:rPr>
          <w:rFonts w:ascii="Times New Roman" w:eastAsia="Times New Roman" w:hAnsi="Times New Roman" w:cs="Times New Roman"/>
          <w:sz w:val="24"/>
          <w:szCs w:val="24"/>
          <w:u w:val="single"/>
        </w:rPr>
      </w:pPr>
    </w:p>
    <w:p w14:paraId="01966DEC" w14:textId="77777777" w:rsidR="006D75DE" w:rsidRDefault="006D75DE" w:rsidP="006D75DE">
      <w:pPr>
        <w:spacing w:before="120" w:after="240"/>
        <w:rPr>
          <w:rFonts w:ascii="Times New Roman" w:eastAsia="Times New Roman" w:hAnsi="Times New Roman" w:cs="Times New Roman"/>
          <w:b/>
          <w:sz w:val="24"/>
          <w:szCs w:val="24"/>
        </w:rPr>
      </w:pPr>
      <w:r w:rsidRPr="006D75DE">
        <w:rPr>
          <w:rFonts w:ascii="Times New Roman" w:eastAsia="Times New Roman" w:hAnsi="Times New Roman" w:cs="Times New Roman"/>
          <w:b/>
          <w:sz w:val="24"/>
          <w:szCs w:val="24"/>
        </w:rPr>
        <w:t>Hypothesis</w:t>
      </w:r>
    </w:p>
    <w:p w14:paraId="5B57C10E" w14:textId="49A7A341" w:rsidR="006D75DE" w:rsidRPr="006D75DE" w:rsidRDefault="006D75DE" w:rsidP="006D75DE">
      <w:pPr>
        <w:pStyle w:val="ListParagraph"/>
        <w:numPr>
          <w:ilvl w:val="0"/>
          <w:numId w:val="5"/>
        </w:numPr>
        <w:spacing w:before="120" w:after="240"/>
        <w:rPr>
          <w:rFonts w:ascii="Times New Roman" w:eastAsia="Times New Roman" w:hAnsi="Times New Roman" w:cs="Times New Roman"/>
          <w:b/>
          <w:sz w:val="24"/>
          <w:szCs w:val="24"/>
        </w:rPr>
      </w:pPr>
      <w:r w:rsidRPr="006D75DE">
        <w:rPr>
          <w:rFonts w:ascii="Times New Roman" w:eastAsia="Times New Roman" w:hAnsi="Times New Roman" w:cs="Times New Roman"/>
          <w:sz w:val="24"/>
          <w:szCs w:val="24"/>
        </w:rPr>
        <w:t xml:space="preserve">What are some of the key life history of the </w:t>
      </w:r>
      <w:r w:rsidR="000A6504" w:rsidRPr="006D75DE">
        <w:rPr>
          <w:rFonts w:ascii="Times New Roman" w:eastAsia="Times New Roman" w:hAnsi="Times New Roman" w:cs="Times New Roman"/>
          <w:sz w:val="24"/>
          <w:szCs w:val="24"/>
        </w:rPr>
        <w:t>traits including</w:t>
      </w:r>
      <w:r w:rsidRPr="006D75DE">
        <w:rPr>
          <w:rFonts w:ascii="Times New Roman" w:eastAsia="Times New Roman" w:hAnsi="Times New Roman" w:cs="Times New Roman"/>
          <w:sz w:val="24"/>
          <w:szCs w:val="24"/>
        </w:rPr>
        <w:t xml:space="preserve"> reproduction, distribution range, tolerance and </w:t>
      </w:r>
      <w:r w:rsidR="000A6504" w:rsidRPr="006D75DE">
        <w:rPr>
          <w:rFonts w:ascii="Times New Roman" w:eastAsia="Times New Roman" w:hAnsi="Times New Roman" w:cs="Times New Roman"/>
          <w:sz w:val="24"/>
          <w:szCs w:val="24"/>
        </w:rPr>
        <w:t>dietary</w:t>
      </w:r>
      <w:r w:rsidR="000A6504">
        <w:rPr>
          <w:rFonts w:ascii="Times New Roman" w:eastAsia="Times New Roman" w:hAnsi="Times New Roman" w:cs="Times New Roman"/>
          <w:sz w:val="24"/>
          <w:szCs w:val="24"/>
        </w:rPr>
        <w:t>?</w:t>
      </w:r>
    </w:p>
    <w:p w14:paraId="587995B7" w14:textId="00EC824F" w:rsidR="006D75DE" w:rsidRPr="000A6504" w:rsidRDefault="006D75DE" w:rsidP="006D75DE">
      <w:pPr>
        <w:pStyle w:val="ListParagraph"/>
        <w:numPr>
          <w:ilvl w:val="0"/>
          <w:numId w:val="5"/>
        </w:numPr>
        <w:spacing w:before="120" w:after="240"/>
        <w:rPr>
          <w:rFonts w:ascii="Times New Roman" w:eastAsia="Times New Roman" w:hAnsi="Times New Roman" w:cs="Times New Roman"/>
          <w:b/>
          <w:sz w:val="24"/>
          <w:szCs w:val="24"/>
        </w:rPr>
      </w:pPr>
      <w:r>
        <w:rPr>
          <w:rFonts w:ascii="Times New Roman" w:eastAsia="Times New Roman" w:hAnsi="Times New Roman" w:cs="Times New Roman"/>
          <w:sz w:val="24"/>
          <w:szCs w:val="24"/>
        </w:rPr>
        <w:t>Why was the experimental system you chose appropriate for your hypothesis?</w:t>
      </w:r>
    </w:p>
    <w:p w14:paraId="77CD0824" w14:textId="77777777" w:rsidR="000A6504" w:rsidRPr="000A6504" w:rsidRDefault="000A6504" w:rsidP="000A6504">
      <w:pPr>
        <w:pStyle w:val="ListParagraph"/>
        <w:numPr>
          <w:ilvl w:val="0"/>
          <w:numId w:val="5"/>
        </w:numPr>
        <w:spacing w:before="240" w:after="120"/>
        <w:rPr>
          <w:rFonts w:ascii="Times New Roman" w:eastAsia="Times New Roman" w:hAnsi="Times New Roman" w:cs="Times New Roman"/>
          <w:sz w:val="24"/>
          <w:szCs w:val="24"/>
        </w:rPr>
      </w:pPr>
      <w:r w:rsidRPr="000A6504">
        <w:rPr>
          <w:rFonts w:ascii="Times New Roman" w:eastAsia="Times New Roman" w:hAnsi="Times New Roman" w:cs="Times New Roman"/>
          <w:sz w:val="24"/>
          <w:szCs w:val="24"/>
        </w:rPr>
        <w:t>What was being compared</w:t>
      </w:r>
    </w:p>
    <w:p w14:paraId="599EFE59" w14:textId="77777777" w:rsidR="000A6504" w:rsidRPr="006D75DE" w:rsidRDefault="000A6504" w:rsidP="000A6504">
      <w:pPr>
        <w:pStyle w:val="ListParagraph"/>
        <w:spacing w:before="120" w:after="240"/>
        <w:rPr>
          <w:rFonts w:ascii="Times New Roman" w:eastAsia="Times New Roman" w:hAnsi="Times New Roman" w:cs="Times New Roman"/>
          <w:b/>
          <w:sz w:val="24"/>
          <w:szCs w:val="24"/>
        </w:rPr>
      </w:pPr>
    </w:p>
    <w:p w14:paraId="3665F4A0" w14:textId="202059F0" w:rsidR="006D75DE" w:rsidRDefault="005010CD" w:rsidP="006D75DE">
      <w:pPr>
        <w:spacing w:before="120" w:after="120"/>
        <w:rPr>
          <w:rFonts w:ascii="Times New Roman" w:eastAsia="Times New Roman" w:hAnsi="Times New Roman" w:cs="Times New Roman"/>
          <w:b/>
          <w:sz w:val="24"/>
          <w:szCs w:val="24"/>
        </w:rPr>
      </w:pPr>
      <w:bookmarkStart w:id="3" w:name="_heading=h.1fob9te" w:colFirst="0" w:colLast="0"/>
      <w:bookmarkEnd w:id="3"/>
      <w:r>
        <w:rPr>
          <w:rFonts w:ascii="Times New Roman" w:eastAsia="Times New Roman" w:hAnsi="Times New Roman" w:cs="Times New Roman"/>
          <w:b/>
          <w:sz w:val="24"/>
          <w:szCs w:val="24"/>
        </w:rPr>
        <w:t xml:space="preserve">Background </w:t>
      </w:r>
    </w:p>
    <w:p w14:paraId="00000009" w14:textId="00666A1B" w:rsidR="00AF3A89" w:rsidRDefault="005010CD" w:rsidP="006D75DE">
      <w:pPr>
        <w:spacing w:before="12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10Bleach, Hydrochloric Acid, Oregano Oil and Tea Tree Oil (TTO) are antifungal substances. Their ability in inhibiting yeast reproduction rate is tested and measured by the average numbers of yeast colonies under each condition. Besides, Essential oils such as Oregano oil and Tea Tree Oil contain phenolic compounds such as thymol and eugenol that are responsible for the antimicrobial activities against yeast’ growth (</w:t>
      </w:r>
      <w:proofErr w:type="spellStart"/>
      <w:r>
        <w:rPr>
          <w:rFonts w:ascii="Times New Roman" w:eastAsia="Times New Roman" w:hAnsi="Times New Roman" w:cs="Times New Roman"/>
          <w:sz w:val="24"/>
          <w:szCs w:val="24"/>
        </w:rPr>
        <w:t>Falleh</w:t>
      </w:r>
      <w:proofErr w:type="spellEnd"/>
      <w:r>
        <w:rPr>
          <w:rFonts w:ascii="Times New Roman" w:eastAsia="Times New Roman" w:hAnsi="Times New Roman" w:cs="Times New Roman"/>
          <w:sz w:val="24"/>
          <w:szCs w:val="24"/>
        </w:rPr>
        <w:t xml:space="preserve"> et al. 2020)</w:t>
      </w:r>
    </w:p>
    <w:p w14:paraId="0000000A" w14:textId="77777777" w:rsidR="00AF3A89" w:rsidRDefault="005010CD">
      <w:pPr>
        <w:spacing w:before="240" w:after="120"/>
        <w:rPr>
          <w:rFonts w:ascii="Times New Roman" w:eastAsia="Times New Roman" w:hAnsi="Times New Roman" w:cs="Times New Roman"/>
          <w:sz w:val="26"/>
          <w:szCs w:val="26"/>
        </w:rPr>
      </w:pPr>
      <w:r>
        <w:rPr>
          <w:rFonts w:ascii="Times New Roman" w:eastAsia="Times New Roman" w:hAnsi="Times New Roman" w:cs="Times New Roman"/>
          <w:sz w:val="24"/>
          <w:szCs w:val="24"/>
        </w:rPr>
        <w:t>2.  Saccharomyces cerevisiae yeast are known to reproduce at high rates, in short periods of time (Pagano et al. 2019). Which ensures when carrying out experiments that we can count on the yeast cells to be produced in large amounts, for our experiment specifically where we require replications of each treatment, thus, Saccharomyces cerevisiae yeast ability availability makes it suitable to use. Also to ensure our treatments are suitable for prevention of yeast growth, we can be certain that yeast will grow abundantly, therefore if we see no growth on our plates we can conclude that the treatment was successful (Pagano et al. 2019). Overall,</w:t>
      </w:r>
      <w:r>
        <w:rPr>
          <w:rFonts w:ascii="Times New Roman" w:eastAsia="Times New Roman" w:hAnsi="Times New Roman" w:cs="Times New Roman"/>
          <w:sz w:val="26"/>
          <w:szCs w:val="26"/>
        </w:rPr>
        <w:t xml:space="preserve"> </w:t>
      </w:r>
      <w:r>
        <w:rPr>
          <w:rFonts w:ascii="Times New Roman" w:eastAsia="Times New Roman" w:hAnsi="Times New Roman" w:cs="Times New Roman"/>
          <w:sz w:val="24"/>
          <w:szCs w:val="24"/>
        </w:rPr>
        <w:t>Saccharomyces cerevisiae yeasts ability to be available in plentiful amounts allows us to provide us to draw meaningful conclusions.</w:t>
      </w:r>
    </w:p>
    <w:p w14:paraId="0000000B"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 Saccharomyces cerevisiae yeast are a good model organism. They are easy to maintain and require little care. Our experiment time does not allow us to consistently check up and gear 100% of our attention towards them. Therefore Saccharomyces cerevisiae yeast are great to use, no complex tools are needed to measure the amount of Saccharomyces cerevisiae yeast growth. Although they are a simple organism they still are made up of genomic material that is insightful to understand how antifungal material leads to their demise (Pagano et al. 2019). </w:t>
      </w:r>
    </w:p>
    <w:p w14:paraId="0000000C" w14:textId="0D796F61"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AMP-activated kinase, Ras/protein kinase A are some of the centers of overlapping </w:t>
      </w:r>
      <w:r w:rsidR="00497CF6">
        <w:rPr>
          <w:rFonts w:ascii="Times New Roman" w:eastAsia="Times New Roman" w:hAnsi="Times New Roman" w:cs="Times New Roman"/>
          <w:sz w:val="24"/>
          <w:szCs w:val="24"/>
        </w:rPr>
        <w:t>signaling</w:t>
      </w:r>
      <w:r>
        <w:rPr>
          <w:rFonts w:ascii="Times New Roman" w:eastAsia="Times New Roman" w:hAnsi="Times New Roman" w:cs="Times New Roman"/>
          <w:sz w:val="24"/>
          <w:szCs w:val="24"/>
        </w:rPr>
        <w:t xml:space="preserve"> networks that </w:t>
      </w:r>
      <w:r>
        <w:rPr>
          <w:rFonts w:ascii="Times New Roman" w:eastAsia="Times New Roman" w:hAnsi="Times New Roman" w:cs="Times New Roman"/>
          <w:i/>
          <w:sz w:val="24"/>
          <w:szCs w:val="24"/>
        </w:rPr>
        <w:t xml:space="preserve">Saccharomyces cerevisiae </w:t>
      </w:r>
      <w:r>
        <w:rPr>
          <w:rFonts w:ascii="Times New Roman" w:eastAsia="Times New Roman" w:hAnsi="Times New Roman" w:cs="Times New Roman"/>
          <w:sz w:val="24"/>
          <w:szCs w:val="24"/>
        </w:rPr>
        <w:t xml:space="preserve">use to inform its cells on nutrient availability to make developmental decisions </w:t>
      </w:r>
      <w:r>
        <w:rPr>
          <w:rFonts w:ascii="Times New Roman" w:eastAsia="Times New Roman" w:hAnsi="Times New Roman" w:cs="Times New Roman"/>
          <w:sz w:val="24"/>
          <w:szCs w:val="24"/>
          <w:highlight w:val="white"/>
        </w:rPr>
        <w:t xml:space="preserve">(Broach 2012) </w:t>
      </w:r>
    </w:p>
    <w:p w14:paraId="0000000D" w14:textId="0A90D90B"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i/>
          <w:color w:val="222222"/>
          <w:sz w:val="24"/>
          <w:szCs w:val="24"/>
          <w:highlight w:val="white"/>
        </w:rPr>
        <w:t xml:space="preserve">Saccharomyces cerevisiae </w:t>
      </w:r>
      <w:r>
        <w:rPr>
          <w:rFonts w:ascii="Times New Roman" w:eastAsia="Times New Roman" w:hAnsi="Times New Roman" w:cs="Times New Roman"/>
          <w:color w:val="222222"/>
          <w:sz w:val="24"/>
          <w:szCs w:val="24"/>
          <w:highlight w:val="white"/>
        </w:rPr>
        <w:t xml:space="preserve">is a fungus that serves as a model for other potentially harmful pathogenic fungi that could infect crops or plants. Yeast are heterotrophic and are commonly found in or on fruits and dead organic </w:t>
      </w:r>
      <w:r w:rsidR="00497CF6">
        <w:rPr>
          <w:rFonts w:ascii="Times New Roman" w:eastAsia="Times New Roman" w:hAnsi="Times New Roman" w:cs="Times New Roman"/>
          <w:color w:val="222222"/>
          <w:sz w:val="24"/>
          <w:szCs w:val="24"/>
          <w:highlight w:val="white"/>
        </w:rPr>
        <w:t>material</w:t>
      </w:r>
      <w:r>
        <w:rPr>
          <w:rFonts w:ascii="Times New Roman" w:eastAsia="Times New Roman" w:hAnsi="Times New Roman" w:cs="Times New Roman"/>
          <w:color w:val="222222"/>
          <w:sz w:val="24"/>
          <w:szCs w:val="24"/>
          <w:highlight w:val="white"/>
        </w:rPr>
        <w:t xml:space="preserve"> but some are also parasitic. These fungi may poses a threat to the production of crops. (Biological Sciences Department 2019)</w:t>
      </w:r>
    </w:p>
    <w:p w14:paraId="0000000F" w14:textId="2914E049" w:rsidR="00AF3A89" w:rsidRPr="000A6504" w:rsidRDefault="000A6504">
      <w:pPr>
        <w:spacing w:before="240" w:after="120"/>
        <w:rPr>
          <w:rFonts w:ascii="Times New Roman" w:eastAsia="Times New Roman" w:hAnsi="Times New Roman" w:cs="Times New Roman"/>
          <w:b/>
          <w:sz w:val="24"/>
          <w:szCs w:val="24"/>
        </w:rPr>
      </w:pPr>
      <w:r w:rsidRPr="000A6504">
        <w:rPr>
          <w:rFonts w:ascii="Times New Roman" w:eastAsia="Times New Roman" w:hAnsi="Times New Roman" w:cs="Times New Roman"/>
          <w:b/>
          <w:sz w:val="24"/>
          <w:szCs w:val="24"/>
        </w:rPr>
        <w:t>Results</w:t>
      </w:r>
    </w:p>
    <w:p w14:paraId="00000010"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We predicted that Bleach would result in the least growth of yeast colonies. We also predicted that the synthetic treatments would be more effective than the natural treatments at limiting yeast growth. Lastly, we predicted that the control would have a large amount of growth because there is nothing limiting it.  /3</w:t>
      </w:r>
    </w:p>
    <w:p w14:paraId="00000011" w14:textId="1CF516B6" w:rsidR="00AF3A89" w:rsidRDefault="000A6504">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What was being compared?</w:t>
      </w:r>
    </w:p>
    <w:p w14:paraId="00000012"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Average yeast colonies present under each condition        /1</w:t>
      </w:r>
    </w:p>
    <w:p w14:paraId="00000013"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4"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Data required to assess predictions:</w:t>
      </w:r>
    </w:p>
    <w:p w14:paraId="00000015"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yeast colonies that grow under each different condition/substance used        /1</w:t>
      </w:r>
    </w:p>
    <w:p w14:paraId="00000016" w14:textId="77777777" w:rsidR="00AF3A89" w:rsidRDefault="00AF3A89">
      <w:pPr>
        <w:spacing w:before="240" w:after="120"/>
        <w:rPr>
          <w:rFonts w:ascii="Times New Roman" w:eastAsia="Times New Roman" w:hAnsi="Times New Roman" w:cs="Times New Roman"/>
          <w:sz w:val="24"/>
          <w:szCs w:val="24"/>
        </w:rPr>
      </w:pPr>
    </w:p>
    <w:p w14:paraId="00000017" w14:textId="77777777" w:rsidR="00AF3A89" w:rsidRDefault="00AF3A89">
      <w:pPr>
        <w:spacing w:before="240" w:after="120"/>
        <w:rPr>
          <w:rFonts w:ascii="Times New Roman" w:eastAsia="Times New Roman" w:hAnsi="Times New Roman" w:cs="Times New Roman"/>
          <w:sz w:val="24"/>
          <w:szCs w:val="24"/>
        </w:rPr>
      </w:pPr>
    </w:p>
    <w:p w14:paraId="00000018" w14:textId="77777777" w:rsidR="00AF3A89" w:rsidRDefault="00AF3A89">
      <w:pPr>
        <w:spacing w:before="240" w:after="120"/>
        <w:rPr>
          <w:rFonts w:ascii="Times New Roman" w:eastAsia="Times New Roman" w:hAnsi="Times New Roman" w:cs="Times New Roman"/>
          <w:sz w:val="24"/>
          <w:szCs w:val="24"/>
        </w:rPr>
      </w:pPr>
    </w:p>
    <w:p w14:paraId="00000019" w14:textId="77777777" w:rsidR="00AF3A89" w:rsidRDefault="00AF3A89">
      <w:pPr>
        <w:spacing w:before="240" w:after="120"/>
        <w:rPr>
          <w:rFonts w:ascii="Times New Roman" w:eastAsia="Times New Roman" w:hAnsi="Times New Roman" w:cs="Times New Roman"/>
          <w:sz w:val="24"/>
          <w:szCs w:val="24"/>
        </w:rPr>
      </w:pPr>
    </w:p>
    <w:p w14:paraId="0000001A" w14:textId="77777777" w:rsidR="00AF3A89" w:rsidRDefault="005010CD">
      <w:pPr>
        <w:pStyle w:val="Heading1"/>
        <w:spacing w:before="240"/>
      </w:pPr>
      <w:bookmarkStart w:id="4" w:name="_heading=h.9u9q8hdwj7lo" w:colFirst="0" w:colLast="0"/>
      <w:bookmarkEnd w:id="4"/>
      <w:r>
        <w:rPr>
          <w:rFonts w:ascii="Times New Roman" w:eastAsia="Times New Roman" w:hAnsi="Times New Roman" w:cs="Times New Roman"/>
          <w:b/>
          <w:sz w:val="24"/>
          <w:szCs w:val="24"/>
        </w:rPr>
        <w:t>Methods:</w:t>
      </w:r>
      <w:r>
        <w:t xml:space="preserve"> </w:t>
      </w:r>
    </w:p>
    <w:p w14:paraId="0000001B" w14:textId="6AC6BE66" w:rsidR="00AF3A89" w:rsidRDefault="00497CF6">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Materials used. </w:t>
      </w:r>
    </w:p>
    <w:p w14:paraId="0000001C" w14:textId="77777777" w:rsidR="00AF3A89" w:rsidRDefault="005010CD">
      <w:pPr>
        <w:widowControl w:val="0"/>
        <w:spacing w:before="246"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-Bleach (4% bleach from bottle)</w:t>
      </w:r>
    </w:p>
    <w:p w14:paraId="0000001D" w14:textId="3696E5CE" w:rsidR="00AF3A89" w:rsidRDefault="005010CD">
      <w:pPr>
        <w:widowControl w:val="0"/>
        <w:spacing w:before="274" w:line="462" w:lineRule="auto"/>
        <w:ind w:left="12" w:right="12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-Hydrochloric Acid </w:t>
      </w:r>
      <w:r w:rsidR="00497CF6">
        <w:rPr>
          <w:rFonts w:ascii="Times New Roman" w:eastAsia="Times New Roman" w:hAnsi="Times New Roman" w:cs="Times New Roman"/>
          <w:sz w:val="24"/>
          <w:szCs w:val="24"/>
        </w:rPr>
        <w:t>(1.0M</w:t>
      </w:r>
      <w:r>
        <w:rPr>
          <w:rFonts w:ascii="Times New Roman" w:eastAsia="Times New Roman" w:hAnsi="Times New Roman" w:cs="Times New Roman"/>
          <w:sz w:val="24"/>
          <w:szCs w:val="24"/>
        </w:rPr>
        <w:t xml:space="preserve"> HCL diluted to 5%) </w:t>
      </w:r>
    </w:p>
    <w:p w14:paraId="0000001E" w14:textId="77777777" w:rsidR="00AF3A89" w:rsidRDefault="005010CD">
      <w:pPr>
        <w:widowControl w:val="0"/>
        <w:spacing w:line="462" w:lineRule="auto"/>
        <w:ind w:left="12" w:right="128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-Oregano Oil </w:t>
      </w:r>
    </w:p>
    <w:p w14:paraId="0000001F" w14:textId="77777777" w:rsidR="00AF3A89" w:rsidRDefault="005010CD">
      <w:pPr>
        <w:widowControl w:val="0"/>
        <w:spacing w:before="52"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 Tree Oil </w:t>
      </w:r>
    </w:p>
    <w:p w14:paraId="00000020" w14:textId="77777777" w:rsidR="00AF3A89" w:rsidRDefault="005010CD">
      <w:pPr>
        <w:widowControl w:val="0"/>
        <w:spacing w:before="289" w:line="462" w:lineRule="auto"/>
        <w:ind w:left="12" w:right="2194"/>
        <w:rPr>
          <w:rFonts w:ascii="Times New Roman" w:eastAsia="Times New Roman" w:hAnsi="Times New Roman" w:cs="Times New Roman"/>
          <w:sz w:val="24"/>
          <w:szCs w:val="24"/>
        </w:rPr>
      </w:pPr>
      <w:r>
        <w:rPr>
          <w:rFonts w:ascii="Times New Roman" w:eastAsia="Times New Roman" w:hAnsi="Times New Roman" w:cs="Times New Roman"/>
          <w:sz w:val="24"/>
          <w:szCs w:val="24"/>
        </w:rPr>
        <w:t>-Yeast (</w:t>
      </w:r>
      <w:r>
        <w:rPr>
          <w:rFonts w:ascii="Times New Roman" w:eastAsia="Times New Roman" w:hAnsi="Times New Roman" w:cs="Times New Roman"/>
          <w:i/>
          <w:sz w:val="24"/>
          <w:szCs w:val="24"/>
          <w:highlight w:val="white"/>
        </w:rPr>
        <w:t>Saccharomyces cerevisiae</w:t>
      </w:r>
      <w:r>
        <w:rPr>
          <w:rFonts w:ascii="Times New Roman" w:eastAsia="Times New Roman" w:hAnsi="Times New Roman" w:cs="Times New Roman"/>
          <w:sz w:val="24"/>
          <w:szCs w:val="24"/>
          <w:highlight w:val="white"/>
        </w:rPr>
        <w:t xml:space="preserve">) cell culture (about 10^9 cells/ml) </w:t>
      </w:r>
      <w:r>
        <w:rPr>
          <w:rFonts w:ascii="Times New Roman" w:eastAsia="Times New Roman" w:hAnsi="Times New Roman" w:cs="Times New Roman"/>
          <w:sz w:val="24"/>
          <w:szCs w:val="24"/>
        </w:rPr>
        <w:t xml:space="preserve">-Supplemented plates for the yeast (15 Agar plates) </w:t>
      </w:r>
    </w:p>
    <w:p w14:paraId="00000021" w14:textId="006F6197" w:rsidR="00AF3A89" w:rsidRDefault="005010CD">
      <w:pPr>
        <w:widowControl w:val="0"/>
        <w:spacing w:before="52"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97CF6">
        <w:rPr>
          <w:rFonts w:ascii="Times New Roman" w:eastAsia="Times New Roman" w:hAnsi="Times New Roman" w:cs="Times New Roman"/>
          <w:sz w:val="24"/>
          <w:szCs w:val="24"/>
        </w:rPr>
        <w:t>Micropipette</w:t>
      </w:r>
      <w:r>
        <w:rPr>
          <w:rFonts w:ascii="Times New Roman" w:eastAsia="Times New Roman" w:hAnsi="Times New Roman" w:cs="Times New Roman"/>
          <w:sz w:val="24"/>
          <w:szCs w:val="24"/>
        </w:rPr>
        <w:t xml:space="preserve"> 1000μL and 100μL </w:t>
      </w:r>
    </w:p>
    <w:p w14:paraId="00000022" w14:textId="77777777" w:rsidR="00AF3A89" w:rsidRDefault="005010CD">
      <w:pPr>
        <w:widowControl w:val="0"/>
        <w:spacing w:before="274"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-Vortex mixer </w:t>
      </w:r>
    </w:p>
    <w:p w14:paraId="00000023" w14:textId="77777777" w:rsidR="00AF3A89" w:rsidRDefault="005010CD">
      <w:pPr>
        <w:widowControl w:val="0"/>
        <w:spacing w:before="274"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-Sterile Buffer solution </w:t>
      </w:r>
    </w:p>
    <w:p w14:paraId="00000024" w14:textId="77777777" w:rsidR="00AF3A89" w:rsidRDefault="005010CD">
      <w:pPr>
        <w:widowControl w:val="0"/>
        <w:spacing w:before="274"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-Microfuge tubes (2ml size x 8) </w:t>
      </w:r>
    </w:p>
    <w:p w14:paraId="00000025" w14:textId="77777777" w:rsidR="00AF3A89" w:rsidRDefault="005010CD">
      <w:pPr>
        <w:widowControl w:val="0"/>
        <w:spacing w:before="289"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Spinning stands for plating (1) </w:t>
      </w:r>
    </w:p>
    <w:p w14:paraId="00000026" w14:textId="77777777" w:rsidR="00AF3A89" w:rsidRDefault="005010CD">
      <w:pPr>
        <w:widowControl w:val="0"/>
        <w:spacing w:before="274"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-Microfuge tube stand </w:t>
      </w:r>
    </w:p>
    <w:p w14:paraId="00000027" w14:textId="77777777" w:rsidR="00AF3A89" w:rsidRDefault="005010CD">
      <w:pPr>
        <w:widowControl w:val="0"/>
        <w:spacing w:before="274" w:line="240" w:lineRule="auto"/>
        <w:ind w:left="12"/>
        <w:rPr>
          <w:rFonts w:ascii="Times New Roman" w:eastAsia="Times New Roman" w:hAnsi="Times New Roman" w:cs="Times New Roman"/>
          <w:sz w:val="24"/>
          <w:szCs w:val="24"/>
        </w:rPr>
      </w:pPr>
      <w:r>
        <w:rPr>
          <w:rFonts w:ascii="Times New Roman" w:eastAsia="Times New Roman" w:hAnsi="Times New Roman" w:cs="Times New Roman"/>
          <w:sz w:val="24"/>
          <w:szCs w:val="24"/>
        </w:rPr>
        <w:t>- Sterile tools for spreading yeast (15)</w:t>
      </w:r>
    </w:p>
    <w:p w14:paraId="00000028" w14:textId="77777777" w:rsidR="00AF3A89" w:rsidRDefault="00AF3A89">
      <w:pPr>
        <w:spacing w:before="240" w:after="120"/>
        <w:rPr>
          <w:rFonts w:ascii="Times New Roman" w:eastAsia="Times New Roman" w:hAnsi="Times New Roman" w:cs="Times New Roman"/>
          <w:sz w:val="24"/>
          <w:szCs w:val="24"/>
        </w:rPr>
      </w:pPr>
    </w:p>
    <w:p w14:paraId="00000029" w14:textId="77777777" w:rsidR="00AF3A89" w:rsidRDefault="00AF3A89">
      <w:pPr>
        <w:spacing w:before="240" w:after="120"/>
        <w:rPr>
          <w:rFonts w:ascii="Times New Roman" w:eastAsia="Times New Roman" w:hAnsi="Times New Roman" w:cs="Times New Roman"/>
          <w:sz w:val="24"/>
          <w:szCs w:val="24"/>
        </w:rPr>
      </w:pPr>
    </w:p>
    <w:p w14:paraId="0000002A" w14:textId="77777777" w:rsidR="00AF3A89" w:rsidRDefault="00AF3A89"/>
    <w:p w14:paraId="0000002B" w14:textId="77777777" w:rsidR="00AF3A89" w:rsidRDefault="00AF3A89">
      <w:pPr>
        <w:spacing w:before="240" w:after="120"/>
        <w:rPr>
          <w:rFonts w:ascii="Times New Roman" w:eastAsia="Times New Roman" w:hAnsi="Times New Roman" w:cs="Times New Roman"/>
          <w:sz w:val="24"/>
          <w:szCs w:val="24"/>
        </w:rPr>
      </w:pPr>
    </w:p>
    <w:p w14:paraId="0000002C" w14:textId="77777777" w:rsidR="00AF3A89" w:rsidRDefault="00AF3A89">
      <w:pPr>
        <w:spacing w:before="240" w:after="120"/>
        <w:rPr>
          <w:rFonts w:ascii="Times New Roman" w:eastAsia="Times New Roman" w:hAnsi="Times New Roman" w:cs="Times New Roman"/>
          <w:sz w:val="24"/>
          <w:szCs w:val="24"/>
        </w:rPr>
      </w:pPr>
    </w:p>
    <w:p w14:paraId="0000002D" w14:textId="77777777" w:rsidR="00AF3A89" w:rsidRDefault="00AF3A89">
      <w:pPr>
        <w:spacing w:before="240" w:after="120"/>
        <w:rPr>
          <w:rFonts w:ascii="Times New Roman" w:eastAsia="Times New Roman" w:hAnsi="Times New Roman" w:cs="Times New Roman"/>
          <w:sz w:val="24"/>
          <w:szCs w:val="24"/>
        </w:rPr>
      </w:pPr>
    </w:p>
    <w:p w14:paraId="0000002E" w14:textId="77777777" w:rsidR="00AF3A89" w:rsidRDefault="00AF3A89">
      <w:pPr>
        <w:spacing w:before="240" w:after="120"/>
        <w:rPr>
          <w:rFonts w:ascii="Times New Roman" w:eastAsia="Times New Roman" w:hAnsi="Times New Roman" w:cs="Times New Roman"/>
          <w:sz w:val="24"/>
          <w:szCs w:val="24"/>
        </w:rPr>
      </w:pPr>
    </w:p>
    <w:p w14:paraId="0000002F" w14:textId="4465317F" w:rsidR="00AF3A89" w:rsidRPr="000A6504" w:rsidRDefault="000A6504">
      <w:pPr>
        <w:spacing w:before="240" w:after="120"/>
        <w:rPr>
          <w:rFonts w:ascii="Times New Roman" w:eastAsia="Times New Roman" w:hAnsi="Times New Roman" w:cs="Times New Roman"/>
          <w:b/>
          <w:sz w:val="24"/>
          <w:szCs w:val="24"/>
        </w:rPr>
      </w:pPr>
      <w:r w:rsidRPr="000A6504">
        <w:rPr>
          <w:rFonts w:ascii="Times New Roman" w:eastAsia="Times New Roman" w:hAnsi="Times New Roman" w:cs="Times New Roman"/>
          <w:b/>
          <w:sz w:val="24"/>
          <w:szCs w:val="24"/>
        </w:rPr>
        <w:t>Procedure</w:t>
      </w:r>
    </w:p>
    <w:p w14:paraId="00000031" w14:textId="77777777" w:rsidR="00AF3A89" w:rsidRDefault="005010CD">
      <w:pPr>
        <w:numPr>
          <w:ilvl w:val="0"/>
          <w:numId w:val="2"/>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Serial dilution of the original cell culture using a micropipette. Cells are diluted 10^-6 with a sterile buffer solution. </w:t>
      </w:r>
    </w:p>
    <w:p w14:paraId="00000032"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can be carried out by adding 100μl of a 10^9 cell/ml </w:t>
      </w:r>
      <w:r>
        <w:rPr>
          <w:rFonts w:ascii="Times New Roman" w:eastAsia="Times New Roman" w:hAnsi="Times New Roman" w:cs="Times New Roman"/>
          <w:i/>
          <w:sz w:val="24"/>
          <w:szCs w:val="24"/>
          <w:highlight w:val="white"/>
        </w:rPr>
        <w:t>Saccharomyces cerevisiae</w:t>
      </w:r>
      <w:r>
        <w:rPr>
          <w:rFonts w:ascii="Times New Roman" w:eastAsia="Times New Roman" w:hAnsi="Times New Roman" w:cs="Times New Roman"/>
          <w:sz w:val="24"/>
          <w:szCs w:val="24"/>
        </w:rPr>
        <w:t xml:space="preserve"> culture to 900μl of buffer solution and then mixing using a vortex. </w:t>
      </w:r>
    </w:p>
    <w:p w14:paraId="00000033" w14:textId="4A5418BB"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process is then repeated six times by taking 100μl from the previously made dilution and adding it to 900μl of more buffer solution and </w:t>
      </w:r>
      <w:r w:rsidR="00497CF6">
        <w:rPr>
          <w:rFonts w:ascii="Times New Roman" w:eastAsia="Times New Roman" w:hAnsi="Times New Roman" w:cs="Times New Roman"/>
          <w:sz w:val="24"/>
          <w:szCs w:val="24"/>
        </w:rPr>
        <w:t>overtaxing</w:t>
      </w:r>
      <w:r>
        <w:rPr>
          <w:rFonts w:ascii="Times New Roman" w:eastAsia="Times New Roman" w:hAnsi="Times New Roman" w:cs="Times New Roman"/>
          <w:sz w:val="24"/>
          <w:szCs w:val="24"/>
        </w:rPr>
        <w:t xml:space="preserve"> again. Resulting in a 10^-6 dilution of the original culture.</w:t>
      </w:r>
    </w:p>
    <w:p w14:paraId="00000034"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This dilution should be carried out twice to obtain 2ml of the final 10^-6 diluted solution.</w:t>
      </w:r>
    </w:p>
    <w:p w14:paraId="00000035"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Label three agar plates for each treatment.</w:t>
      </w:r>
    </w:p>
    <w:p w14:paraId="00000036"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plate is then given 100μl of its respective treatment except the control. </w:t>
      </w:r>
    </w:p>
    <w:p w14:paraId="00000037"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should be 3 plates with 100μl of 4% bleach, 3 plates with 100μl of 5% HCL, 3 plate with 100μl of TTO, 3 plates with 100μl of oregano oil, and 3 control plates with no treatment. Thus a total of 15 samples. </w:t>
      </w:r>
    </w:p>
    <w:p w14:paraId="00000038" w14:textId="77777777" w:rsidR="00AF3A89" w:rsidRDefault="005010CD">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treatment has been applied to the plates, 100μl of diluted cells can be applied and spread using a spreader. Make sure to use a new spreader for each plate to avoid contamination.</w:t>
      </w:r>
    </w:p>
    <w:p w14:paraId="00000039" w14:textId="77777777" w:rsidR="00AF3A89" w:rsidRDefault="005010CD">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Samples are left in the lab in a temperature-controlled environment for a week. </w:t>
      </w:r>
    </w:p>
    <w:p w14:paraId="0000003A" w14:textId="77777777" w:rsidR="00AF3A89" w:rsidRDefault="005010CD">
      <w:pPr>
        <w:numPr>
          <w:ilvl w:val="0"/>
          <w:numId w:val="3"/>
        </w:num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this week colonies were counted and recorded </w:t>
      </w:r>
    </w:p>
    <w:p w14:paraId="0000003B"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C"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D"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E"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F" w14:textId="77777777" w:rsidR="00AF3A89" w:rsidRDefault="00AF3A89">
      <w:pPr>
        <w:spacing w:before="240" w:after="120"/>
        <w:rPr>
          <w:rFonts w:ascii="Times New Roman" w:eastAsia="Times New Roman" w:hAnsi="Times New Roman" w:cs="Times New Roman"/>
          <w:sz w:val="24"/>
          <w:szCs w:val="24"/>
        </w:rPr>
      </w:pPr>
    </w:p>
    <w:p w14:paraId="00000040" w14:textId="77777777" w:rsidR="00AF3A89" w:rsidRDefault="00AF3A89">
      <w:pPr>
        <w:spacing w:before="240" w:after="120"/>
        <w:rPr>
          <w:rFonts w:ascii="Times New Roman" w:eastAsia="Times New Roman" w:hAnsi="Times New Roman" w:cs="Times New Roman"/>
          <w:sz w:val="24"/>
          <w:szCs w:val="24"/>
        </w:rPr>
      </w:pPr>
    </w:p>
    <w:p w14:paraId="00000041" w14:textId="77777777" w:rsidR="00AF3A89" w:rsidRDefault="00AF3A89">
      <w:pPr>
        <w:spacing w:before="240" w:after="120"/>
        <w:rPr>
          <w:rFonts w:ascii="Times New Roman" w:eastAsia="Times New Roman" w:hAnsi="Times New Roman" w:cs="Times New Roman"/>
          <w:sz w:val="24"/>
          <w:szCs w:val="24"/>
        </w:rPr>
      </w:pPr>
    </w:p>
    <w:p w14:paraId="00000042" w14:textId="77777777" w:rsidR="00AF3A89" w:rsidRDefault="00AF3A89">
      <w:pPr>
        <w:spacing w:before="240" w:after="120"/>
        <w:rPr>
          <w:rFonts w:ascii="Times New Roman" w:eastAsia="Times New Roman" w:hAnsi="Times New Roman" w:cs="Times New Roman"/>
          <w:sz w:val="24"/>
          <w:szCs w:val="24"/>
        </w:rPr>
      </w:pPr>
    </w:p>
    <w:p w14:paraId="00000043" w14:textId="77777777" w:rsidR="00AF3A89" w:rsidRDefault="00AF3A89">
      <w:pPr>
        <w:spacing w:before="240" w:after="120"/>
        <w:rPr>
          <w:rFonts w:ascii="Times New Roman" w:eastAsia="Times New Roman" w:hAnsi="Times New Roman" w:cs="Times New Roman"/>
          <w:sz w:val="24"/>
          <w:szCs w:val="24"/>
        </w:rPr>
      </w:pPr>
    </w:p>
    <w:p w14:paraId="00000044" w14:textId="77777777" w:rsidR="00AF3A89" w:rsidRDefault="00AF3A89">
      <w:pPr>
        <w:spacing w:before="240" w:after="120"/>
        <w:rPr>
          <w:rFonts w:ascii="Times New Roman" w:eastAsia="Times New Roman" w:hAnsi="Times New Roman" w:cs="Times New Roman"/>
          <w:sz w:val="24"/>
          <w:szCs w:val="24"/>
        </w:rPr>
      </w:pPr>
    </w:p>
    <w:p w14:paraId="00000045" w14:textId="3C0141ED"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Analysis</w:t>
      </w:r>
      <w:r w:rsidR="000A6504">
        <w:rPr>
          <w:rFonts w:ascii="Times New Roman" w:eastAsia="Times New Roman" w:hAnsi="Times New Roman" w:cs="Times New Roman"/>
          <w:sz w:val="24"/>
          <w:szCs w:val="24"/>
        </w:rPr>
        <w:t xml:space="preserve"> and results.</w:t>
      </w:r>
    </w:p>
    <w:p w14:paraId="00000046"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Variables:  </w:t>
      </w:r>
    </w:p>
    <w:p w14:paraId="00000047" w14:textId="77777777" w:rsidR="00AF3A89" w:rsidRDefault="005010C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variables: Control, Bleach, Hydrochloric Acid, Oregano Oil, Tea Tree Oil </w:t>
      </w:r>
    </w:p>
    <w:p w14:paraId="00000048" w14:textId="77777777" w:rsidR="00AF3A89" w:rsidRDefault="005010CD">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numerical variable: Average yeast colonies </w:t>
      </w:r>
    </w:p>
    <w:p w14:paraId="00000049"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Test(s) used: one-way ANOVA </w:t>
      </w:r>
    </w:p>
    <w:p w14:paraId="0000004A"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Results* (including test statistic, critical value and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-value):   /3</w:t>
      </w:r>
    </w:p>
    <w:p w14:paraId="0000004B" w14:textId="77777777" w:rsidR="00AF3A89" w:rsidRDefault="005010CD">
      <w:pPr>
        <w:spacing w:before="240" w:after="1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Fo</w:t>
      </w:r>
      <w:proofErr w:type="spellEnd"/>
      <w:r>
        <w:rPr>
          <w:rFonts w:ascii="Times New Roman" w:eastAsia="Times New Roman" w:hAnsi="Times New Roman" w:cs="Times New Roman"/>
          <w:sz w:val="24"/>
          <w:szCs w:val="24"/>
        </w:rPr>
        <w:t>= 1.429, F critical = 3.478, p-value = 0.294</w:t>
      </w:r>
    </w:p>
    <w:p w14:paraId="0000004C"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D"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1" w14:textId="7C240130" w:rsidR="00AF3A89" w:rsidRPr="0058209F" w:rsidRDefault="0058209F">
      <w:pPr>
        <w:spacing w:before="240" w:after="120"/>
        <w:rPr>
          <w:rFonts w:ascii="Times New Roman" w:eastAsia="Times New Roman" w:hAnsi="Times New Roman" w:cs="Times New Roman"/>
          <w:b/>
          <w:sz w:val="24"/>
          <w:szCs w:val="24"/>
        </w:rPr>
      </w:pPr>
      <w:r w:rsidRPr="0058209F">
        <w:rPr>
          <w:rFonts w:ascii="Times New Roman" w:eastAsia="Times New Roman" w:hAnsi="Times New Roman" w:cs="Times New Roman"/>
          <w:b/>
          <w:sz w:val="24"/>
          <w:szCs w:val="24"/>
        </w:rPr>
        <w:t>Results</w:t>
      </w:r>
    </w:p>
    <w:p w14:paraId="00000052" w14:textId="20C64F7A" w:rsidR="00AF3A89" w:rsidRDefault="005010CD">
      <w:pPr>
        <w:spacing w:before="240" w:after="12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our data supported our hypothesis. As predicted, there was no yeast growth on the tea tree plates, the oil or oregano plates, or the bleach plates. The only plates that showed growth other than the control plates were the HCl plates. This was likely because we diluted the HCl to a point where it was no longer as toxic to the yeast. An issue with our study is that overall we did not see much yeast growth, even on the control plates. This could imply that there was an issue with the yeast sample we used. </w:t>
      </w:r>
    </w:p>
    <w:p w14:paraId="00000053"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4"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5"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6"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7" w14:textId="554394A5" w:rsidR="00AF3A89" w:rsidRPr="0058209F" w:rsidRDefault="0058209F">
      <w:pPr>
        <w:spacing w:before="240" w:after="120"/>
        <w:rPr>
          <w:rFonts w:ascii="Times New Roman" w:eastAsia="Times New Roman" w:hAnsi="Times New Roman" w:cs="Times New Roman"/>
          <w:b/>
          <w:sz w:val="24"/>
          <w:szCs w:val="24"/>
        </w:rPr>
      </w:pPr>
      <w:r w:rsidRPr="0058209F">
        <w:rPr>
          <w:rFonts w:ascii="Times New Roman" w:eastAsia="Times New Roman" w:hAnsi="Times New Roman" w:cs="Times New Roman"/>
          <w:b/>
          <w:sz w:val="24"/>
          <w:szCs w:val="24"/>
        </w:rPr>
        <w:t>Discussion</w:t>
      </w:r>
    </w:p>
    <w:p w14:paraId="00000058" w14:textId="2C84DFC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supported by other works by </w:t>
      </w:r>
      <w:proofErr w:type="spellStart"/>
      <w:r>
        <w:rPr>
          <w:rFonts w:ascii="Times New Roman" w:eastAsia="Times New Roman" w:hAnsi="Times New Roman" w:cs="Times New Roman"/>
          <w:sz w:val="24"/>
          <w:szCs w:val="24"/>
        </w:rPr>
        <w:t>Gantini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Subrata</w:t>
      </w:r>
      <w:proofErr w:type="spellEnd"/>
      <w:r>
        <w:rPr>
          <w:rFonts w:ascii="Times New Roman" w:eastAsia="Times New Roman" w:hAnsi="Times New Roman" w:cs="Times New Roman"/>
          <w:sz w:val="24"/>
          <w:szCs w:val="24"/>
        </w:rPr>
        <w:t xml:space="preserve"> (2008), Li et al. (2017), and </w:t>
      </w:r>
      <w:proofErr w:type="spellStart"/>
      <w:r>
        <w:rPr>
          <w:rFonts w:ascii="Times New Roman" w:eastAsia="Times New Roman" w:hAnsi="Times New Roman" w:cs="Times New Roman"/>
          <w:sz w:val="24"/>
          <w:szCs w:val="24"/>
        </w:rPr>
        <w:t>Soylu</w:t>
      </w:r>
      <w:proofErr w:type="spellEnd"/>
      <w:r>
        <w:rPr>
          <w:rFonts w:ascii="Times New Roman" w:eastAsia="Times New Roman" w:hAnsi="Times New Roman" w:cs="Times New Roman"/>
          <w:sz w:val="24"/>
          <w:szCs w:val="24"/>
        </w:rPr>
        <w:t xml:space="preserve"> et al. (2007) who found that hypochlorite, tea tree oil, and oregano oil are effective antifungal treatments for varying species of fungi. In addition, compounds that contain oregano oil are also proven effective in preserving food and extending the shelf-life of meat products and low-fat cut cheese </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Artiga</w:t>
      </w:r>
      <w:proofErr w:type="spellEnd"/>
      <w:r>
        <w:rPr>
          <w:rFonts w:ascii="Times New Roman" w:eastAsia="Times New Roman" w:hAnsi="Times New Roman" w:cs="Times New Roman"/>
          <w:sz w:val="24"/>
          <w:szCs w:val="24"/>
          <w:highlight w:val="white"/>
        </w:rPr>
        <w:t>-Artigas et al. 2017)</w:t>
      </w:r>
      <w:r>
        <w:rPr>
          <w:rFonts w:ascii="Times New Roman" w:eastAsia="Times New Roman" w:hAnsi="Times New Roman" w:cs="Times New Roman"/>
          <w:sz w:val="24"/>
          <w:szCs w:val="24"/>
        </w:rPr>
        <w:t xml:space="preserve"> by </w:t>
      </w:r>
      <w:r w:rsidR="00497CF6">
        <w:rPr>
          <w:rFonts w:ascii="Times New Roman" w:eastAsia="Times New Roman" w:hAnsi="Times New Roman" w:cs="Times New Roman"/>
          <w:sz w:val="24"/>
          <w:szCs w:val="24"/>
        </w:rPr>
        <w:t>minimizing</w:t>
      </w:r>
      <w:r>
        <w:rPr>
          <w:rFonts w:ascii="Times New Roman" w:eastAsia="Times New Roman" w:hAnsi="Times New Roman" w:cs="Times New Roman"/>
          <w:sz w:val="24"/>
          <w:szCs w:val="24"/>
        </w:rPr>
        <w:t xml:space="preserve"> the pH and preventing microbial growth</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Xiong</w:t>
      </w:r>
      <w:proofErr w:type="spellEnd"/>
      <w:r>
        <w:rPr>
          <w:rFonts w:ascii="Times New Roman" w:eastAsia="Times New Roman" w:hAnsi="Times New Roman" w:cs="Times New Roman"/>
          <w:sz w:val="24"/>
          <w:szCs w:val="24"/>
          <w:highlight w:val="white"/>
        </w:rPr>
        <w:t xml:space="preserve"> et al. 2020)</w:t>
      </w:r>
      <w:r>
        <w:rPr>
          <w:rFonts w:ascii="Times New Roman" w:eastAsia="Times New Roman" w:hAnsi="Times New Roman" w:cs="Times New Roman"/>
          <w:sz w:val="24"/>
          <w:szCs w:val="24"/>
        </w:rPr>
        <w:t xml:space="preserve">. Therefore, substances above can be useful in creating not only chemical compounds against pest destruction in the agriculture industry but also new preservatives that are more eco-friendly in the future. </w:t>
      </w:r>
    </w:p>
    <w:p w14:paraId="00000059"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A" w14:textId="77777777" w:rsidR="00AF3A89" w:rsidRDefault="00AF3A89">
      <w:pPr>
        <w:spacing w:before="240" w:after="120"/>
        <w:rPr>
          <w:rFonts w:ascii="Times New Roman" w:eastAsia="Times New Roman" w:hAnsi="Times New Roman" w:cs="Times New Roman"/>
          <w:sz w:val="24"/>
          <w:szCs w:val="24"/>
        </w:rPr>
      </w:pPr>
    </w:p>
    <w:p w14:paraId="0000005B" w14:textId="77777777" w:rsidR="00AF3A89" w:rsidRDefault="00AF3A89">
      <w:pPr>
        <w:spacing w:before="240" w:after="120"/>
        <w:rPr>
          <w:rFonts w:ascii="Times New Roman" w:eastAsia="Times New Roman" w:hAnsi="Times New Roman" w:cs="Times New Roman"/>
          <w:sz w:val="24"/>
          <w:szCs w:val="24"/>
        </w:rPr>
      </w:pPr>
    </w:p>
    <w:p w14:paraId="0000005C" w14:textId="0801156B" w:rsidR="00AF3A89" w:rsidRPr="0058209F" w:rsidRDefault="0058209F">
      <w:pPr>
        <w:spacing w:before="240" w:after="120"/>
        <w:rPr>
          <w:rFonts w:ascii="Times New Roman" w:eastAsia="Times New Roman" w:hAnsi="Times New Roman" w:cs="Times New Roman"/>
          <w:b/>
          <w:sz w:val="24"/>
          <w:szCs w:val="24"/>
        </w:rPr>
      </w:pPr>
      <w:r w:rsidRPr="0058209F">
        <w:rPr>
          <w:rFonts w:ascii="Times New Roman" w:eastAsia="Times New Roman" w:hAnsi="Times New Roman" w:cs="Times New Roman"/>
          <w:b/>
          <w:sz w:val="24"/>
          <w:szCs w:val="24"/>
        </w:rPr>
        <w:t xml:space="preserve">Conclusion </w:t>
      </w:r>
    </w:p>
    <w:p w14:paraId="0000005F" w14:textId="346E7BA2" w:rsidR="00AF3A89" w:rsidRDefault="005010CD" w:rsidP="0058209F">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our results, it can be concluded that tea tree oil, oil of oregano, and bleach have fairly strong antifungal properties. It could also be concluded that the concentration of HCl that we used does not have very strong antifungal properties. Overall we can conclude that tea tree oil, oil of oregano, and bleach could be considered effective antifungal treatments. This means that natural antifungals such as TTO and Oregano oil could be used as safer alternatives to synthetic antifungals like bleach. </w:t>
      </w:r>
    </w:p>
    <w:p w14:paraId="00000060"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1" w14:textId="77777777" w:rsidR="00AF3A89" w:rsidRDefault="005010CD">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4" w14:textId="65E3D316" w:rsidR="00AF3A89" w:rsidRDefault="00AF3A89">
      <w:pPr>
        <w:spacing w:before="240" w:after="120"/>
        <w:rPr>
          <w:rFonts w:ascii="Times New Roman" w:eastAsia="Times New Roman" w:hAnsi="Times New Roman" w:cs="Times New Roman"/>
          <w:sz w:val="24"/>
          <w:szCs w:val="24"/>
        </w:rPr>
      </w:pPr>
    </w:p>
    <w:p w14:paraId="7025D67F" w14:textId="77777777" w:rsidR="0058209F" w:rsidRDefault="0058209F">
      <w:pPr>
        <w:spacing w:before="240" w:after="120"/>
        <w:rPr>
          <w:rFonts w:ascii="Times New Roman" w:eastAsia="Times New Roman" w:hAnsi="Times New Roman" w:cs="Times New Roman"/>
          <w:sz w:val="24"/>
          <w:szCs w:val="24"/>
        </w:rPr>
      </w:pPr>
    </w:p>
    <w:p w14:paraId="76A2A85D" w14:textId="77777777" w:rsidR="0058209F" w:rsidRDefault="0058209F">
      <w:pPr>
        <w:spacing w:before="240" w:after="120"/>
        <w:rPr>
          <w:rFonts w:ascii="Times New Roman" w:eastAsia="Times New Roman" w:hAnsi="Times New Roman" w:cs="Times New Roman"/>
          <w:sz w:val="24"/>
          <w:szCs w:val="24"/>
        </w:rPr>
      </w:pPr>
    </w:p>
    <w:p w14:paraId="5921FD15" w14:textId="77777777" w:rsidR="0058209F" w:rsidRDefault="0058209F">
      <w:pPr>
        <w:spacing w:before="240" w:after="120"/>
        <w:rPr>
          <w:rFonts w:ascii="Times New Roman" w:eastAsia="Times New Roman" w:hAnsi="Times New Roman" w:cs="Times New Roman"/>
          <w:sz w:val="24"/>
          <w:szCs w:val="24"/>
        </w:rPr>
      </w:pPr>
    </w:p>
    <w:p w14:paraId="07F6EDDE" w14:textId="77777777" w:rsidR="0058209F" w:rsidRDefault="0058209F">
      <w:pPr>
        <w:spacing w:before="240" w:after="120"/>
        <w:rPr>
          <w:rFonts w:ascii="Times New Roman" w:eastAsia="Times New Roman" w:hAnsi="Times New Roman" w:cs="Times New Roman"/>
          <w:sz w:val="24"/>
          <w:szCs w:val="24"/>
        </w:rPr>
      </w:pPr>
    </w:p>
    <w:p w14:paraId="27100BF5" w14:textId="77777777" w:rsidR="0058209F" w:rsidRPr="0058209F" w:rsidRDefault="0058209F">
      <w:pPr>
        <w:spacing w:before="240" w:after="120"/>
        <w:rPr>
          <w:rFonts w:ascii="Times New Roman" w:eastAsia="Times New Roman" w:hAnsi="Times New Roman" w:cs="Times New Roman"/>
          <w:sz w:val="24"/>
          <w:szCs w:val="24"/>
        </w:rPr>
      </w:pPr>
    </w:p>
    <w:p w14:paraId="00000065" w14:textId="77777777" w:rsidR="00AF3A89" w:rsidRDefault="005010CD">
      <w:pPr>
        <w:spacing w:before="240" w:after="12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References: </w:t>
      </w:r>
    </w:p>
    <w:p w14:paraId="00000066" w14:textId="44D6BEC8" w:rsidR="00AF3A89" w:rsidRDefault="005010CD">
      <w:pPr>
        <w:spacing w:before="240" w:after="1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Artiga</w:t>
      </w:r>
      <w:proofErr w:type="spellEnd"/>
      <w:r>
        <w:rPr>
          <w:rFonts w:ascii="Times New Roman" w:eastAsia="Times New Roman" w:hAnsi="Times New Roman" w:cs="Times New Roman"/>
          <w:sz w:val="24"/>
          <w:szCs w:val="24"/>
        </w:rPr>
        <w:t>-Artigas, M., A. Acevedo-</w:t>
      </w:r>
      <w:proofErr w:type="spellStart"/>
      <w:r>
        <w:rPr>
          <w:rFonts w:ascii="Times New Roman" w:eastAsia="Times New Roman" w:hAnsi="Times New Roman" w:cs="Times New Roman"/>
          <w:sz w:val="24"/>
          <w:szCs w:val="24"/>
        </w:rPr>
        <w:t>Fani</w:t>
      </w:r>
      <w:proofErr w:type="spellEnd"/>
      <w:r>
        <w:rPr>
          <w:rFonts w:ascii="Times New Roman" w:eastAsia="Times New Roman" w:hAnsi="Times New Roman" w:cs="Times New Roman"/>
          <w:sz w:val="24"/>
          <w:szCs w:val="24"/>
        </w:rPr>
        <w:t>, O. Martin-</w:t>
      </w:r>
      <w:proofErr w:type="spellStart"/>
      <w:r>
        <w:rPr>
          <w:rFonts w:ascii="Times New Roman" w:eastAsia="Times New Roman" w:hAnsi="Times New Roman" w:cs="Times New Roman"/>
          <w:sz w:val="24"/>
          <w:szCs w:val="24"/>
        </w:rPr>
        <w:t>Belloso</w:t>
      </w:r>
      <w:proofErr w:type="spellEnd"/>
      <w:r>
        <w:rPr>
          <w:rFonts w:ascii="Times New Roman" w:eastAsia="Times New Roman" w:hAnsi="Times New Roman" w:cs="Times New Roman"/>
          <w:sz w:val="24"/>
          <w:szCs w:val="24"/>
        </w:rPr>
        <w:t xml:space="preserve">. 2017. Improving the shelf life of low-fat cut cheese using </w:t>
      </w:r>
      <w:r w:rsidR="00497CF6">
        <w:rPr>
          <w:rFonts w:ascii="Times New Roman" w:eastAsia="Times New Roman" w:hAnsi="Times New Roman" w:cs="Times New Roman"/>
          <w:sz w:val="24"/>
          <w:szCs w:val="24"/>
        </w:rPr>
        <w:t>Nan emulsion</w:t>
      </w:r>
      <w:r>
        <w:rPr>
          <w:rFonts w:ascii="Times New Roman" w:eastAsia="Times New Roman" w:hAnsi="Times New Roman" w:cs="Times New Roman"/>
          <w:sz w:val="24"/>
          <w:szCs w:val="24"/>
        </w:rPr>
        <w:t xml:space="preserve"> based edible coatings containing oregano essential oil and mandarin fiber. Food Control, vol. 76: 1-12, DOI: </w:t>
      </w:r>
      <w:hyperlink r:id="rId8">
        <w:r>
          <w:rPr>
            <w:rFonts w:ascii="Times New Roman" w:eastAsia="Times New Roman" w:hAnsi="Times New Roman" w:cs="Times New Roman"/>
            <w:sz w:val="24"/>
            <w:szCs w:val="24"/>
          </w:rPr>
          <w:t>https://doi.org/10.1016/j.foodcont.2017.01.001</w:t>
        </w:r>
      </w:hyperlink>
      <w:r>
        <w:rPr>
          <w:rFonts w:ascii="Times New Roman" w:eastAsia="Times New Roman" w:hAnsi="Times New Roman" w:cs="Times New Roman"/>
          <w:sz w:val="24"/>
          <w:szCs w:val="24"/>
        </w:rPr>
        <w:t xml:space="preserve"> </w:t>
      </w:r>
    </w:p>
    <w:p w14:paraId="00000067" w14:textId="77777777" w:rsidR="00AF3A89" w:rsidRDefault="005010CD">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Biological Sciences Department. 2019. Biology 108: Organisms in their environment laboratory manual 2019/2020. Faculty of Arts and Science, MacEwan University, Alberta, Canada.</w:t>
      </w:r>
    </w:p>
    <w:p w14:paraId="00000068" w14:textId="77777777" w:rsidR="00AF3A89" w:rsidRDefault="00AF3A89">
      <w:pPr>
        <w:rPr>
          <w:rFonts w:ascii="Times New Roman" w:eastAsia="Times New Roman" w:hAnsi="Times New Roman" w:cs="Times New Roman"/>
          <w:sz w:val="24"/>
          <w:szCs w:val="24"/>
        </w:rPr>
      </w:pPr>
    </w:p>
    <w:p w14:paraId="00000069" w14:textId="77777777" w:rsidR="00AF3A89" w:rsidRDefault="005010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Broach, J.R. 2012. Nutritional Control of Growth and Development in Yeast. Genetics. Volume: 192(1): 73-105. DOI: </w:t>
      </w:r>
      <w:hyperlink r:id="rId9">
        <w:r>
          <w:rPr>
            <w:rFonts w:ascii="Times New Roman" w:eastAsia="Times New Roman" w:hAnsi="Times New Roman" w:cs="Times New Roman"/>
            <w:sz w:val="24"/>
            <w:szCs w:val="24"/>
            <w:u w:val="single"/>
          </w:rPr>
          <w:t>10.1534/genetics.111.135731</w:t>
        </w:r>
      </w:hyperlink>
      <w:r>
        <w:rPr>
          <w:rFonts w:ascii="Times New Roman" w:eastAsia="Times New Roman" w:hAnsi="Times New Roman" w:cs="Times New Roman"/>
          <w:sz w:val="24"/>
          <w:szCs w:val="24"/>
        </w:rPr>
        <w:t xml:space="preserve">  </w:t>
      </w:r>
    </w:p>
    <w:p w14:paraId="0000006A" w14:textId="77777777" w:rsidR="00AF3A89" w:rsidRDefault="005010CD">
      <w:pPr>
        <w:shd w:val="clear" w:color="auto" w:fill="FFFFFF"/>
        <w:spacing w:before="300" w:after="300"/>
        <w:rPr>
          <w:rFonts w:ascii="Times New Roman" w:eastAsia="Times New Roman" w:hAnsi="Times New Roman" w:cs="Times New Roman"/>
          <w:sz w:val="24"/>
          <w:szCs w:val="24"/>
        </w:rPr>
      </w:pPr>
      <w:r>
        <w:rPr>
          <w:rFonts w:ascii="Times New Roman" w:eastAsia="Times New Roman" w:hAnsi="Times New Roman" w:cs="Times New Roman"/>
          <w:sz w:val="24"/>
          <w:szCs w:val="24"/>
        </w:rPr>
        <w:t>Copping, L. G., &amp; H. G. Hewitt. 1998. Chemistry and Mode of Action of Crop Protection Agents. Royal Society of Chemistry. http://eds.b.ebscohost.com.ezproxy.macewan.ca /eds/ebookviewer/ebook?sid=a7a014f1-eb55-4ef0-ace1-c31ae6a88922%40pdc-v-sessmgr01&amp;vid=0&amp;format=EB</w:t>
      </w:r>
    </w:p>
    <w:p w14:paraId="0000006B" w14:textId="77777777" w:rsidR="00AF3A89" w:rsidRDefault="005010CD">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Falleh</w:t>
      </w:r>
      <w:proofErr w:type="spellEnd"/>
      <w:r>
        <w:rPr>
          <w:rFonts w:ascii="Times New Roman" w:eastAsia="Times New Roman" w:hAnsi="Times New Roman" w:cs="Times New Roman"/>
          <w:sz w:val="24"/>
          <w:szCs w:val="24"/>
        </w:rPr>
        <w:t xml:space="preserve">, H., M. Ben </w:t>
      </w:r>
      <w:proofErr w:type="spellStart"/>
      <w:r>
        <w:rPr>
          <w:rFonts w:ascii="Times New Roman" w:eastAsia="Times New Roman" w:hAnsi="Times New Roman" w:cs="Times New Roman"/>
          <w:sz w:val="24"/>
          <w:szCs w:val="24"/>
        </w:rPr>
        <w:t>Jemaa</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Saada</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Ksouri</w:t>
      </w:r>
      <w:proofErr w:type="spellEnd"/>
      <w:r>
        <w:rPr>
          <w:rFonts w:ascii="Times New Roman" w:eastAsia="Times New Roman" w:hAnsi="Times New Roman" w:cs="Times New Roman"/>
          <w:sz w:val="24"/>
          <w:szCs w:val="24"/>
        </w:rPr>
        <w:t xml:space="preserve">. 2020. Essential oils: A promising eco-friendly food preservative. Food Chemistry, vol. 330. DOI: </w:t>
      </w:r>
      <w:hyperlink r:id="rId10">
        <w:r>
          <w:rPr>
            <w:rFonts w:ascii="Times New Roman" w:eastAsia="Times New Roman" w:hAnsi="Times New Roman" w:cs="Times New Roman"/>
            <w:sz w:val="24"/>
            <w:szCs w:val="24"/>
          </w:rPr>
          <w:t>https://doi.org/10.1016/j.foodchem.2020.127268</w:t>
        </w:r>
      </w:hyperlink>
      <w:r>
        <w:rPr>
          <w:rFonts w:ascii="Times New Roman" w:eastAsia="Times New Roman" w:hAnsi="Times New Roman" w:cs="Times New Roman"/>
          <w:sz w:val="24"/>
          <w:szCs w:val="24"/>
        </w:rPr>
        <w:t xml:space="preserve"> </w:t>
      </w:r>
    </w:p>
    <w:p w14:paraId="0000006C" w14:textId="77777777" w:rsidR="00AF3A89" w:rsidRDefault="00AF3A89">
      <w:pPr>
        <w:rPr>
          <w:rFonts w:ascii="Times New Roman" w:eastAsia="Times New Roman" w:hAnsi="Times New Roman" w:cs="Times New Roman"/>
          <w:sz w:val="24"/>
          <w:szCs w:val="24"/>
        </w:rPr>
      </w:pPr>
    </w:p>
    <w:p w14:paraId="0000006D" w14:textId="77777777" w:rsidR="00AF3A89" w:rsidRDefault="005010CD">
      <w:pPr>
        <w:rPr>
          <w:rFonts w:ascii="Times New Roman" w:eastAsia="Times New Roman" w:hAnsi="Times New Roman" w:cs="Times New Roman"/>
          <w:sz w:val="24"/>
          <w:szCs w:val="24"/>
        </w:rPr>
      </w:pPr>
      <w:r>
        <w:rPr>
          <w:rFonts w:ascii="Times New Roman" w:eastAsia="Times New Roman" w:hAnsi="Times New Roman" w:cs="Times New Roman"/>
          <w:sz w:val="24"/>
          <w:szCs w:val="24"/>
        </w:rPr>
        <w:t>Li, Y., X. Shao, J. Xu, Y. Wei, F. Xu, and H. Wang. 2017. Tea tree oil exhibits antifungal activity</w:t>
      </w:r>
    </w:p>
    <w:p w14:paraId="0000006E" w14:textId="77777777" w:rsidR="00AF3A89" w:rsidRDefault="005010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against Botrytis </w:t>
      </w:r>
      <w:proofErr w:type="spellStart"/>
      <w:r>
        <w:rPr>
          <w:rFonts w:ascii="Times New Roman" w:eastAsia="Times New Roman" w:hAnsi="Times New Roman" w:cs="Times New Roman"/>
          <w:sz w:val="24"/>
          <w:szCs w:val="24"/>
        </w:rPr>
        <w:t>cinerea</w:t>
      </w:r>
      <w:proofErr w:type="spellEnd"/>
      <w:r>
        <w:rPr>
          <w:rFonts w:ascii="Times New Roman" w:eastAsia="Times New Roman" w:hAnsi="Times New Roman" w:cs="Times New Roman"/>
          <w:sz w:val="24"/>
          <w:szCs w:val="24"/>
        </w:rPr>
        <w:t xml:space="preserve"> by affecting mitochondria. Food Chemistry 234: 62-67. DOI:</w:t>
      </w:r>
    </w:p>
    <w:p w14:paraId="0000006F" w14:textId="77777777" w:rsidR="00AF3A89" w:rsidRDefault="005010CD">
      <w:pPr>
        <w:rPr>
          <w:rFonts w:ascii="Times New Roman" w:eastAsia="Times New Roman" w:hAnsi="Times New Roman" w:cs="Times New Roman"/>
          <w:sz w:val="24"/>
          <w:szCs w:val="24"/>
        </w:rPr>
      </w:pPr>
      <w:r>
        <w:rPr>
          <w:rFonts w:ascii="Times New Roman" w:eastAsia="Times New Roman" w:hAnsi="Times New Roman" w:cs="Times New Roman"/>
          <w:sz w:val="24"/>
          <w:szCs w:val="24"/>
        </w:rPr>
        <w:t>https://doi-org.ezproxy.macewan.ca/10.1016/j.foodchem.2017.04.172</w:t>
      </w:r>
    </w:p>
    <w:p w14:paraId="00000070" w14:textId="77777777" w:rsidR="00AF3A89" w:rsidRDefault="00AF3A89">
      <w:pPr>
        <w:rPr>
          <w:rFonts w:ascii="Times New Roman" w:eastAsia="Times New Roman" w:hAnsi="Times New Roman" w:cs="Times New Roman"/>
          <w:sz w:val="24"/>
          <w:szCs w:val="24"/>
        </w:rPr>
      </w:pPr>
    </w:p>
    <w:p w14:paraId="00000071" w14:textId="77777777" w:rsidR="00AF3A89" w:rsidRDefault="005010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Pagano, L., Caldara, M., Villani, M., </w:t>
      </w:r>
      <w:proofErr w:type="spellStart"/>
      <w:r>
        <w:rPr>
          <w:rFonts w:ascii="Times New Roman" w:eastAsia="Times New Roman" w:hAnsi="Times New Roman" w:cs="Times New Roman"/>
          <w:sz w:val="24"/>
          <w:szCs w:val="24"/>
        </w:rPr>
        <w:t>Zappettini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Marmiroli</w:t>
      </w:r>
      <w:proofErr w:type="spellEnd"/>
      <w:r>
        <w:rPr>
          <w:rFonts w:ascii="Times New Roman" w:eastAsia="Times New Roman" w:hAnsi="Times New Roman" w:cs="Times New Roman"/>
          <w:sz w:val="24"/>
          <w:szCs w:val="24"/>
        </w:rPr>
        <w:t xml:space="preserve">, N., &amp; </w:t>
      </w:r>
      <w:proofErr w:type="spellStart"/>
      <w:r>
        <w:rPr>
          <w:rFonts w:ascii="Times New Roman" w:eastAsia="Times New Roman" w:hAnsi="Times New Roman" w:cs="Times New Roman"/>
          <w:sz w:val="24"/>
          <w:szCs w:val="24"/>
        </w:rPr>
        <w:t>Marmiroli</w:t>
      </w:r>
      <w:proofErr w:type="spellEnd"/>
      <w:r>
        <w:rPr>
          <w:rFonts w:ascii="Times New Roman" w:eastAsia="Times New Roman" w:hAnsi="Times New Roman" w:cs="Times New Roman"/>
          <w:sz w:val="24"/>
          <w:szCs w:val="24"/>
        </w:rPr>
        <w:t xml:space="preserve">, M. (2019). In Vivo-In Vitro Comparative Toxicology of Cadmium </w:t>
      </w:r>
      <w:proofErr w:type="spellStart"/>
      <w:r>
        <w:rPr>
          <w:rFonts w:ascii="Times New Roman" w:eastAsia="Times New Roman" w:hAnsi="Times New Roman" w:cs="Times New Roman"/>
          <w:sz w:val="24"/>
          <w:szCs w:val="24"/>
        </w:rPr>
        <w:t>Sulphide</w:t>
      </w:r>
      <w:proofErr w:type="spellEnd"/>
      <w:r>
        <w:rPr>
          <w:rFonts w:ascii="Times New Roman" w:eastAsia="Times New Roman" w:hAnsi="Times New Roman" w:cs="Times New Roman"/>
          <w:sz w:val="24"/>
          <w:szCs w:val="24"/>
        </w:rPr>
        <w:t xml:space="preserve"> Quantum Dots in the Model Organism Saccharomyces cerevisiae . 9(4). https://doi.org/10.3390/nano9040512</w:t>
      </w:r>
    </w:p>
    <w:p w14:paraId="00000072" w14:textId="77777777" w:rsidR="00AF3A89" w:rsidRDefault="00AF3A89">
      <w:pPr>
        <w:rPr>
          <w:rFonts w:ascii="Times New Roman" w:eastAsia="Times New Roman" w:hAnsi="Times New Roman" w:cs="Times New Roman"/>
          <w:sz w:val="24"/>
          <w:szCs w:val="24"/>
        </w:rPr>
      </w:pPr>
    </w:p>
    <w:p w14:paraId="00000073" w14:textId="77777777" w:rsidR="00AF3A89" w:rsidRDefault="005010CD">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Xiong</w:t>
      </w:r>
      <w:proofErr w:type="spellEnd"/>
      <w:r>
        <w:rPr>
          <w:rFonts w:ascii="Times New Roman" w:eastAsia="Times New Roman" w:hAnsi="Times New Roman" w:cs="Times New Roman"/>
          <w:sz w:val="24"/>
          <w:szCs w:val="24"/>
        </w:rPr>
        <w:t xml:space="preserve">, Y., SM. Li, RD. Warner, ZX. Fang. 2020. Effect of oregano essential oil and resveratrol </w:t>
      </w:r>
      <w:proofErr w:type="spellStart"/>
      <w:r>
        <w:rPr>
          <w:rFonts w:ascii="Times New Roman" w:eastAsia="Times New Roman" w:hAnsi="Times New Roman" w:cs="Times New Roman"/>
          <w:sz w:val="24"/>
          <w:szCs w:val="24"/>
        </w:rPr>
        <w:t>nanoemulsion</w:t>
      </w:r>
      <w:proofErr w:type="spellEnd"/>
      <w:r>
        <w:rPr>
          <w:rFonts w:ascii="Times New Roman" w:eastAsia="Times New Roman" w:hAnsi="Times New Roman" w:cs="Times New Roman"/>
          <w:sz w:val="24"/>
          <w:szCs w:val="24"/>
        </w:rPr>
        <w:t xml:space="preserve"> loaded pectin edible coating on the preservation of pork loin in modified atmosphere packaging. Food Control, vol. 114. DOI: </w:t>
      </w:r>
      <w:hyperlink r:id="rId11">
        <w:r>
          <w:rPr>
            <w:rFonts w:ascii="Times New Roman" w:eastAsia="Times New Roman" w:hAnsi="Times New Roman" w:cs="Times New Roman"/>
            <w:sz w:val="24"/>
            <w:szCs w:val="24"/>
          </w:rPr>
          <w:t>https://doi.org/10.1016/j.foodcont.2020.107226</w:t>
        </w:r>
      </w:hyperlink>
      <w:r>
        <w:rPr>
          <w:rFonts w:ascii="Times New Roman" w:eastAsia="Times New Roman" w:hAnsi="Times New Roman" w:cs="Times New Roman"/>
          <w:sz w:val="24"/>
          <w:szCs w:val="24"/>
        </w:rPr>
        <w:t xml:space="preserve"> </w:t>
      </w:r>
    </w:p>
    <w:p w14:paraId="00000074" w14:textId="77777777" w:rsidR="00AF3A89" w:rsidRDefault="00AF3A89">
      <w:pPr>
        <w:rPr>
          <w:rFonts w:ascii="Times New Roman" w:eastAsia="Times New Roman" w:hAnsi="Times New Roman" w:cs="Times New Roman"/>
          <w:sz w:val="24"/>
          <w:szCs w:val="24"/>
        </w:rPr>
      </w:pPr>
    </w:p>
    <w:p w14:paraId="00000075" w14:textId="77777777" w:rsidR="00AF3A89" w:rsidRDefault="00AF3A89">
      <w:pPr>
        <w:rPr>
          <w:rFonts w:ascii="Times New Roman" w:eastAsia="Times New Roman" w:hAnsi="Times New Roman" w:cs="Times New Roman"/>
          <w:color w:val="434343"/>
          <w:sz w:val="27"/>
          <w:szCs w:val="27"/>
        </w:rPr>
      </w:pPr>
    </w:p>
    <w:p w14:paraId="00000076" w14:textId="77777777" w:rsidR="00AF3A89" w:rsidRDefault="00AF3A89">
      <w:pPr>
        <w:rPr>
          <w:rFonts w:ascii="Times New Roman" w:eastAsia="Times New Roman" w:hAnsi="Times New Roman" w:cs="Times New Roman"/>
          <w:sz w:val="24"/>
          <w:szCs w:val="24"/>
        </w:rPr>
      </w:pPr>
    </w:p>
    <w:p w14:paraId="00000077" w14:textId="77777777" w:rsidR="00AF3A89" w:rsidRDefault="00AF3A89">
      <w:pPr>
        <w:rPr>
          <w:rFonts w:ascii="Times New Roman" w:eastAsia="Times New Roman" w:hAnsi="Times New Roman" w:cs="Times New Roman"/>
          <w:sz w:val="24"/>
          <w:szCs w:val="24"/>
        </w:rPr>
      </w:pPr>
    </w:p>
    <w:p w14:paraId="00000078" w14:textId="77777777" w:rsidR="00AF3A89" w:rsidRDefault="00AF3A89">
      <w:pPr>
        <w:rPr>
          <w:rFonts w:ascii="Times New Roman" w:eastAsia="Times New Roman" w:hAnsi="Times New Roman" w:cs="Times New Roman"/>
          <w:sz w:val="24"/>
          <w:szCs w:val="24"/>
        </w:rPr>
      </w:pPr>
    </w:p>
    <w:sectPr w:rsidR="00AF3A89">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5BFFB" w14:textId="77777777" w:rsidR="00F81146" w:rsidRDefault="00F81146">
      <w:pPr>
        <w:spacing w:line="240" w:lineRule="auto"/>
      </w:pPr>
      <w:r>
        <w:separator/>
      </w:r>
    </w:p>
  </w:endnote>
  <w:endnote w:type="continuationSeparator" w:id="0">
    <w:p w14:paraId="41E9EAB8" w14:textId="77777777" w:rsidR="00F81146" w:rsidRDefault="00F81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1EDE68" w14:textId="77777777" w:rsidR="00F81146" w:rsidRDefault="00F81146">
      <w:pPr>
        <w:spacing w:line="240" w:lineRule="auto"/>
      </w:pPr>
      <w:r>
        <w:separator/>
      </w:r>
    </w:p>
  </w:footnote>
  <w:footnote w:type="continuationSeparator" w:id="0">
    <w:p w14:paraId="13DDCF6B" w14:textId="77777777" w:rsidR="00F81146" w:rsidRDefault="00F811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79" w14:textId="77777777" w:rsidR="00AF3A89" w:rsidRDefault="005010CD">
    <w:pPr>
      <w:spacing w:before="240" w:after="240"/>
      <w:rPr>
        <w:b/>
      </w:rPr>
    </w:pPr>
    <w:r>
      <w:rPr>
        <w:rFonts w:ascii="Times New Roman" w:eastAsia="Times New Roman" w:hAnsi="Times New Roman" w:cs="Times New Roman"/>
        <w:b/>
        <w:sz w:val="24"/>
        <w:szCs w:val="24"/>
      </w:rPr>
      <w:t xml:space="preserve">BIOLOGY 208      </w:t>
    </w:r>
    <w:r>
      <w:rPr>
        <w:rFonts w:ascii="Times New Roman" w:eastAsia="Times New Roman" w:hAnsi="Times New Roman" w:cs="Times New Roman"/>
        <w:b/>
        <w:sz w:val="24"/>
        <w:szCs w:val="24"/>
      </w:rPr>
      <w:tab/>
      <w:t>GROUP PROJECT ANALYSIS WORKSHEET</w:t>
    </w:r>
    <w:r>
      <w:rPr>
        <w:rFonts w:ascii="Times New Roman" w:eastAsia="Times New Roman" w:hAnsi="Times New Roman" w:cs="Times New Roman"/>
        <w:b/>
        <w:sz w:val="24"/>
        <w:szCs w:val="24"/>
      </w:rPr>
      <w:tab/>
      <w:t>Fall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8B3BB6"/>
    <w:multiLevelType w:val="multilevel"/>
    <w:tmpl w:val="02721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C702A0"/>
    <w:multiLevelType w:val="multilevel"/>
    <w:tmpl w:val="BBB0CA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AD6900"/>
    <w:multiLevelType w:val="hybridMultilevel"/>
    <w:tmpl w:val="F5A0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3A76F4"/>
    <w:multiLevelType w:val="multilevel"/>
    <w:tmpl w:val="759EC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6693344"/>
    <w:multiLevelType w:val="hybridMultilevel"/>
    <w:tmpl w:val="CB2A9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A89"/>
    <w:rsid w:val="000A6504"/>
    <w:rsid w:val="001127B2"/>
    <w:rsid w:val="003E332C"/>
    <w:rsid w:val="00497CF6"/>
    <w:rsid w:val="005010CD"/>
    <w:rsid w:val="0058209F"/>
    <w:rsid w:val="005822EF"/>
    <w:rsid w:val="006622A9"/>
    <w:rsid w:val="006D75DE"/>
    <w:rsid w:val="00AF3A89"/>
    <w:rsid w:val="00F2165C"/>
    <w:rsid w:val="00F81146"/>
    <w:rsid w:val="00FE3C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3251"/>
  <w15:docId w15:val="{84D01D15-DA2C-4220-BFA1-D1C403B2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6D75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doi-org.ezproxy.macewan.ca/10.1016/j.foodcont.2017.01.001"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doi-org.ezproxy.macewan.ca/10.1016/j.foodcont.2020.107226" TargetMode="External" /><Relationship Id="rId5" Type="http://schemas.openxmlformats.org/officeDocument/2006/relationships/webSettings" Target="webSettings.xml" /><Relationship Id="rId10" Type="http://schemas.openxmlformats.org/officeDocument/2006/relationships/hyperlink" Target="https://doi-org.ezproxy.macewan.ca/10.1016/j.foodchem.2020.127268" TargetMode="External" /><Relationship Id="rId4" Type="http://schemas.openxmlformats.org/officeDocument/2006/relationships/settings" Target="settings.xml" /><Relationship Id="rId9" Type="http://schemas.openxmlformats.org/officeDocument/2006/relationships/hyperlink" Target="https://dx.doi.org/10.1534%2Fgenetics.111.135731"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0zByZU9TDWUwS91HRep4ATHdyw==">AMUW2mU4yE5ody/7bobyA+LhAn0FITsnGCCif0lAsYDLXtd5HoQYqCep7XKqxjaWvTrFURCWUu9RXwV2y1FEcWmcgf9RGg8Fj73JpOvrsBVY95py7iSJEu5kBFgc15mgzzOaog6o59V7XnVGw3HlCdmBCM/wq3HTKec88D1D+pbQEeV4aqWfwN6hOblmZwe6UulGAieXJlj1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1498</Words>
  <Characters>8539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254716226303</cp:lastModifiedBy>
  <cp:revision>2</cp:revision>
  <dcterms:created xsi:type="dcterms:W3CDTF">2020-12-06T00:33:00Z</dcterms:created>
  <dcterms:modified xsi:type="dcterms:W3CDTF">2020-12-06T00:33:00Z</dcterms:modified>
</cp:coreProperties>
</file>